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2">
      <w:pPr>
        <w:spacing w:after="160" w:line="259"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Dentro de los encuentros en los que ya han participado reconocidos ingenieros de Telecomunicación, </w:t>
      </w:r>
    </w:p>
    <w:p w:rsidR="00000000" w:rsidDel="00000000" w:rsidP="00000000" w:rsidRDefault="00000000" w:rsidRPr="00000000" w14:paraId="00000003">
      <w:pPr>
        <w:spacing w:line="252.00000000000003"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Diego Mallada, IT Digital Director en Gestamp: “la industria 4.0 no supone una Revolución Industrial, sino una </w:t>
      </w:r>
      <w:r w:rsidDel="00000000" w:rsidR="00000000" w:rsidRPr="00000000">
        <w:rPr>
          <w:rFonts w:ascii="Calibri" w:cs="Calibri" w:eastAsia="Calibri" w:hAnsi="Calibri"/>
          <w:b w:val="1"/>
          <w:i w:val="1"/>
          <w:sz w:val="44"/>
          <w:szCs w:val="44"/>
          <w:rtl w:val="0"/>
        </w:rPr>
        <w:t xml:space="preserve">Evolución</w:t>
      </w:r>
      <w:r w:rsidDel="00000000" w:rsidR="00000000" w:rsidRPr="00000000">
        <w:rPr>
          <w:rFonts w:ascii="Calibri" w:cs="Calibri" w:eastAsia="Calibri" w:hAnsi="Calibri"/>
          <w:b w:val="1"/>
          <w:sz w:val="44"/>
          <w:szCs w:val="44"/>
          <w:rtl w:val="0"/>
        </w:rPr>
        <w:t xml:space="preserve">”</w:t>
      </w:r>
    </w:p>
    <w:p w:rsidR="00000000" w:rsidDel="00000000" w:rsidP="00000000" w:rsidRDefault="00000000" w:rsidRPr="00000000" w14:paraId="00000004">
      <w:pPr>
        <w:spacing w:line="252.00000000000003"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5">
      <w:pPr>
        <w:numPr>
          <w:ilvl w:val="0"/>
          <w:numId w:val="1"/>
        </w:numPr>
        <w:spacing w:line="252.00000000000003"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Actualmente, el ecosistema europeo se encuentra en un punto muy avanzado </w:t>
      </w:r>
    </w:p>
    <w:p w:rsidR="00000000" w:rsidDel="00000000" w:rsidP="00000000" w:rsidRDefault="00000000" w:rsidRPr="00000000" w14:paraId="00000006">
      <w:pPr>
        <w:numPr>
          <w:ilvl w:val="0"/>
          <w:numId w:val="1"/>
        </w:numPr>
        <w:spacing w:line="252.00000000000003"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Telecos cubren las habilidades de base que se buscan en esta industria</w:t>
      </w:r>
    </w:p>
    <w:p w:rsidR="00000000" w:rsidDel="00000000" w:rsidP="00000000" w:rsidRDefault="00000000" w:rsidRPr="00000000" w14:paraId="00000007">
      <w:pPr>
        <w:spacing w:line="252.00000000000003" w:lineRule="auto"/>
        <w:jc w:val="both"/>
        <w:rPr>
          <w:rFonts w:ascii="DIN Pro" w:cs="DIN Pro" w:eastAsia="DIN Pro" w:hAnsi="DIN Pro"/>
          <w:b w:val="1"/>
          <w:sz w:val="38"/>
          <w:szCs w:val="38"/>
        </w:rPr>
      </w:pPr>
      <w:r w:rsidDel="00000000" w:rsidR="00000000" w:rsidRPr="00000000">
        <w:rPr>
          <w:rtl w:val="0"/>
        </w:rPr>
      </w:r>
    </w:p>
    <w:p w:rsidR="00000000" w:rsidDel="00000000" w:rsidP="00000000" w:rsidRDefault="00000000" w:rsidRPr="00000000" w14:paraId="00000008">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20 de mayo de 2022</w:t>
      </w:r>
      <w:r w:rsidDel="00000000" w:rsidR="00000000" w:rsidRPr="00000000">
        <w:rPr>
          <w:rFonts w:ascii="DIN Pro" w:cs="DIN Pro" w:eastAsia="DIN Pro" w:hAnsi="DIN Pro"/>
          <w:sz w:val="24"/>
          <w:szCs w:val="24"/>
          <w:rtl w:val="0"/>
        </w:rPr>
        <w:t xml:space="preserve">.</w:t>
      </w:r>
      <w:r w:rsidDel="00000000" w:rsidR="00000000" w:rsidRPr="00000000">
        <w:rPr>
          <w:rFonts w:ascii="Calibri" w:cs="Calibri" w:eastAsia="Calibri" w:hAnsi="Calibri"/>
          <w:sz w:val="24"/>
          <w:szCs w:val="24"/>
          <w:rtl w:val="0"/>
        </w:rPr>
        <w:t xml:space="preserve"> “En la industria 4.0, o lo que muchos llaman Cuarta Revolución Industrial, juegan un papel fundamental la hiperconectividad y el volumen masivo de datos, gracias a las tecnologías de las que disponemos”. Así lo afirma Diego Mallada, IT Digital Director en Gestamp en la octava edición de </w:t>
      </w:r>
      <w:r w:rsidDel="00000000" w:rsidR="00000000" w:rsidRPr="00000000">
        <w:rPr>
          <w:rFonts w:ascii="Calibri" w:cs="Calibri" w:eastAsia="Calibri" w:hAnsi="Calibri"/>
          <w:i w:val="1"/>
          <w:sz w:val="24"/>
          <w:szCs w:val="24"/>
          <w:rtl w:val="0"/>
        </w:rPr>
        <w:t xml:space="preserve">Un Café Con…., un</w:t>
      </w:r>
      <w:r w:rsidDel="00000000" w:rsidR="00000000" w:rsidRPr="00000000">
        <w:rPr>
          <w:rFonts w:ascii="Calibri" w:cs="Calibri" w:eastAsia="Calibri" w:hAnsi="Calibri"/>
          <w:sz w:val="24"/>
          <w:szCs w:val="24"/>
          <w:rtl w:val="0"/>
        </w:rPr>
        <w:t xml:space="preserve">os encuentros organizados por la </w:t>
      </w:r>
      <w:hyperlink r:id="rId7">
        <w:r w:rsidDel="00000000" w:rsidR="00000000" w:rsidRPr="00000000">
          <w:rPr>
            <w:rFonts w:ascii="Calibri" w:cs="Calibri" w:eastAsia="Calibri" w:hAnsi="Calibri"/>
            <w:b w:val="1"/>
            <w:color w:val="0563c1"/>
            <w:sz w:val="24"/>
            <w:szCs w:val="24"/>
            <w:u w:val="single"/>
            <w:rtl w:val="0"/>
          </w:rPr>
          <w:t xml:space="preserve">Delegación en Madrid de la Asociación Española de Ingenieros de Telecomunicación</w:t>
        </w:r>
      </w:hyperlink>
      <w:r w:rsidDel="00000000" w:rsidR="00000000" w:rsidRPr="00000000">
        <w:rPr>
          <w:rFonts w:ascii="Calibri" w:cs="Calibri" w:eastAsia="Calibri" w:hAnsi="Calibri"/>
          <w:b w:val="1"/>
          <w:color w:val="0563c1"/>
          <w:sz w:val="24"/>
          <w:szCs w:val="24"/>
          <w:u w:val="single"/>
          <w:rtl w:val="0"/>
        </w:rPr>
        <w:t xml:space="preserve">, AEIT-Madrid,</w:t>
      </w:r>
      <w:r w:rsidDel="00000000" w:rsidR="00000000" w:rsidRPr="00000000">
        <w:rPr>
          <w:rFonts w:ascii="Calibri" w:cs="Calibri" w:eastAsia="Calibri" w:hAnsi="Calibri"/>
          <w:sz w:val="24"/>
          <w:szCs w:val="24"/>
          <w:rtl w:val="0"/>
        </w:rPr>
        <w:t xml:space="preserve"> que tienen como finalidad analizar temas de actualidad y de interés, a través de la experiencia, el liderazgo y el ejemplo de sus invitados.</w:t>
      </w:r>
      <w:r w:rsidDel="00000000" w:rsidR="00000000" w:rsidRPr="00000000">
        <w:drawing>
          <wp:anchor allowOverlap="1" behindDoc="0" distB="114300" distT="114300" distL="114300" distR="114300" hidden="0" layoutInCell="1" locked="0" relativeHeight="0" simplePos="0">
            <wp:simplePos x="0" y="0"/>
            <wp:positionH relativeFrom="column">
              <wp:posOffset>19054</wp:posOffset>
            </wp:positionH>
            <wp:positionV relativeFrom="paragraph">
              <wp:posOffset>19054</wp:posOffset>
            </wp:positionV>
            <wp:extent cx="2160000" cy="21600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60000" cy="2160000"/>
                    </a:xfrm>
                    <a:prstGeom prst="rect"/>
                    <a:ln/>
                  </pic:spPr>
                </pic:pic>
              </a:graphicData>
            </a:graphic>
          </wp:anchor>
        </w:drawing>
      </w:r>
    </w:p>
    <w:p w:rsidR="00000000" w:rsidDel="00000000" w:rsidP="00000000" w:rsidRDefault="00000000" w:rsidRPr="00000000" w14:paraId="00000009">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ocasión, el Ingeniero de Telecomunicación Diego Mallada habló sobre la </w:t>
      </w:r>
      <w:r w:rsidDel="00000000" w:rsidR="00000000" w:rsidRPr="00000000">
        <w:rPr>
          <w:rFonts w:ascii="Calibri" w:cs="Calibri" w:eastAsia="Calibri" w:hAnsi="Calibri"/>
          <w:b w:val="1"/>
          <w:sz w:val="24"/>
          <w:szCs w:val="24"/>
          <w:rtl w:val="0"/>
        </w:rPr>
        <w:t xml:space="preserve">Industria 4.0</w:t>
      </w:r>
      <w:r w:rsidDel="00000000" w:rsidR="00000000" w:rsidRPr="00000000">
        <w:rPr>
          <w:rFonts w:ascii="Calibri" w:cs="Calibri" w:eastAsia="Calibri" w:hAnsi="Calibri"/>
          <w:sz w:val="24"/>
          <w:szCs w:val="24"/>
          <w:rtl w:val="0"/>
        </w:rPr>
        <w:t xml:space="preserve">, punto de encuentro entre tecnologías tradicionalmente industriales, con las tecnologías digitales de las TIC. Mallada habló en su intervención desde la perspectiva de la industria del automóvil y, con especial atención, al papel que juegan los ingenieros de Telecomunicación en este sector. “Embarcarse en esta industria no ha sido un camino fácil y se trata de un proceso continuo de aprendizaje”, afirma Mallada. A pesar de ello, considera que el Teleco cubre las habilidades</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que necesita esta industria.</w:t>
      </w:r>
    </w:p>
    <w:p w:rsidR="00000000" w:rsidDel="00000000" w:rsidP="00000000" w:rsidRDefault="00000000" w:rsidRPr="00000000" w14:paraId="0000000B">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la charla, </w:t>
      </w:r>
      <w:r w:rsidDel="00000000" w:rsidR="00000000" w:rsidRPr="00000000">
        <w:rPr>
          <w:rFonts w:ascii="Calibri" w:cs="Calibri" w:eastAsia="Calibri" w:hAnsi="Calibri"/>
          <w:b w:val="1"/>
          <w:sz w:val="24"/>
          <w:szCs w:val="24"/>
          <w:rtl w:val="0"/>
        </w:rPr>
        <w:t xml:space="preserve">moderada por Víctor Valle, secretario de la AEIT-Madrid, </w:t>
      </w:r>
      <w:r w:rsidDel="00000000" w:rsidR="00000000" w:rsidRPr="00000000">
        <w:rPr>
          <w:rFonts w:ascii="Calibri" w:cs="Calibri" w:eastAsia="Calibri" w:hAnsi="Calibri"/>
          <w:sz w:val="24"/>
          <w:szCs w:val="24"/>
          <w:rtl w:val="0"/>
        </w:rPr>
        <w:t xml:space="preserve">Mallada recalcó como en este nuevo escenario, en el que las plantas industriales están prácticamente robotizadas, el papel de las personas sigue siendo fundamental: “necesitamos a las personas para otro tipo de roles y decisiones, por eso la Industria 4.0 supone una evolución, no una revolución”.</w:t>
      </w:r>
    </w:p>
    <w:p w:rsidR="00000000" w:rsidDel="00000000" w:rsidP="00000000" w:rsidRDefault="00000000" w:rsidRPr="00000000" w14:paraId="0000000D">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concepto de </w:t>
      </w:r>
      <w:r w:rsidDel="00000000" w:rsidR="00000000" w:rsidRPr="00000000">
        <w:rPr>
          <w:rFonts w:ascii="Calibri" w:cs="Calibri" w:eastAsia="Calibri" w:hAnsi="Calibri"/>
          <w:b w:val="1"/>
          <w:sz w:val="24"/>
          <w:szCs w:val="24"/>
          <w:rtl w:val="0"/>
        </w:rPr>
        <w:t xml:space="preserve">fabricación flexible</w:t>
      </w:r>
      <w:r w:rsidDel="00000000" w:rsidR="00000000" w:rsidRPr="00000000">
        <w:rPr>
          <w:rFonts w:ascii="Calibri" w:cs="Calibri" w:eastAsia="Calibri" w:hAnsi="Calibri"/>
          <w:sz w:val="24"/>
          <w:szCs w:val="24"/>
          <w:rtl w:val="0"/>
        </w:rPr>
        <w:t xml:space="preserve"> fue uno de los grandes protagonistas del encuentro. Para Mallada se trata de la “reutilización” de los procesos de fabricación para que se puedan reconfigurar de manera ágil a nuevas necesidades. Para ello, nuevas tecnologías como la Inteligencia Artificial, son fundamentales. </w:t>
      </w:r>
    </w:p>
    <w:p w:rsidR="00000000" w:rsidDel="00000000" w:rsidP="00000000" w:rsidRDefault="00000000" w:rsidRPr="00000000" w14:paraId="0000000F">
      <w:pPr>
        <w:spacing w:line="252.00000000000003" w:lineRule="auto"/>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La </w:t>
      </w:r>
      <w:r w:rsidDel="00000000" w:rsidR="00000000" w:rsidRPr="00000000">
        <w:rPr>
          <w:rFonts w:ascii="Calibri" w:cs="Calibri" w:eastAsia="Calibri" w:hAnsi="Calibri"/>
          <w:b w:val="1"/>
          <w:sz w:val="24"/>
          <w:szCs w:val="24"/>
          <w:rtl w:val="0"/>
        </w:rPr>
        <w:t xml:space="preserve">Inteligencia Artificial</w:t>
      </w:r>
      <w:r w:rsidDel="00000000" w:rsidR="00000000" w:rsidRPr="00000000">
        <w:rPr>
          <w:rFonts w:ascii="Calibri" w:cs="Calibri" w:eastAsia="Calibri" w:hAnsi="Calibri"/>
          <w:sz w:val="24"/>
          <w:szCs w:val="24"/>
          <w:rtl w:val="0"/>
        </w:rPr>
        <w:t xml:space="preserve"> aporta enormemente a la mejora de la fiabilidad, la seguridad y el mantenimiento en la Industria 4.0, proporcionando datos suficientes y de calidad, además, existen iniciativas europeas como GAIA-X que busca regular estos centros de datos compartidos.</w:t>
      </w:r>
    </w:p>
    <w:p w:rsidR="00000000" w:rsidDel="00000000" w:rsidP="00000000" w:rsidRDefault="00000000" w:rsidRPr="00000000" w14:paraId="00000010">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También hubo espacio para comentar la situación actual marcada por la globalización, la pandemia mundial y una guerra en las fronteras de la Unión Europea. Para el IT Digital Director de Gestamp, las empresas deben tener una mayor interconectividad que les permita adaptarse a estos cambios y reconfigurar los procesos. A pesar de ello, considera que Europa se encuentra en un nivel muy avanzado en Industria 4.0, pero: “tal vez falta llevar a la práctica toda la investigación que se ha conseguido sobre el procesamiento de datos”.</w:t>
      </w:r>
    </w:p>
    <w:p w:rsidR="00000000" w:rsidDel="00000000" w:rsidP="00000000" w:rsidRDefault="00000000" w:rsidRPr="00000000" w14:paraId="00000012">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52.00000000000003" w:lineRule="auto"/>
        <w:jc w:val="both"/>
        <w:rPr>
          <w:rFonts w:ascii="Calibri" w:cs="Calibri" w:eastAsia="Calibri" w:hAnsi="Calibri"/>
          <w:sz w:val="24"/>
          <w:szCs w:val="24"/>
        </w:rPr>
      </w:pPr>
      <w:bookmarkStart w:colFirst="0" w:colLast="0" w:name="_heading=h.30j0zll" w:id="1"/>
      <w:bookmarkEnd w:id="1"/>
      <w:r w:rsidDel="00000000" w:rsidR="00000000" w:rsidRPr="00000000">
        <w:rPr>
          <w:rFonts w:ascii="Calibri" w:cs="Calibri" w:eastAsia="Calibri" w:hAnsi="Calibri"/>
          <w:b w:val="1"/>
          <w:sz w:val="24"/>
          <w:szCs w:val="24"/>
          <w:rtl w:val="0"/>
        </w:rPr>
        <w:t xml:space="preserve">Diego Mallada</w:t>
      </w:r>
      <w:r w:rsidDel="00000000" w:rsidR="00000000" w:rsidRPr="00000000">
        <w:rPr>
          <w:rFonts w:ascii="Calibri" w:cs="Calibri" w:eastAsia="Calibri" w:hAnsi="Calibri"/>
          <w:sz w:val="24"/>
          <w:szCs w:val="24"/>
          <w:rtl w:val="0"/>
        </w:rPr>
        <w:t xml:space="preserve"> es IT Digital Director en Gestamp, líder mundial en el diseño, desarrollo y fabricación de componentes y conjuntos para los principales fabricantes de automóviles, donde dirige un equipo multidisciplinar técnico para el desarrollo de productos software relacionados con el ámbito de industria 4.0. Compagina este rol con la docencia en varias Universidades y Escuelas de Negocio en temas de Big Data, IoT, Business Intelligence, Software, Inteligencia Artificial y emprendimiento. Igualmente, es el responsable de Tecnología del Consorcio IndesIA en el que Gestamp es Socio Fundador. Es Ingeniero de Telecomunicación con especialidad en Comunicaciones por la Universidad de Zaragoza; Master in Science en Informática por la Universidad Carlos III; y Master en Big Data e Inteligencia Artificial por el Instituto de Empresa (IE).</w:t>
      </w:r>
    </w:p>
    <w:p w:rsidR="00000000" w:rsidDel="00000000" w:rsidP="00000000" w:rsidRDefault="00000000" w:rsidRPr="00000000" w14:paraId="00000014">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52.00000000000003" w:lineRule="auto"/>
        <w:jc w:val="both"/>
        <w:rPr>
          <w:rFonts w:ascii="Calibri" w:cs="Calibri" w:eastAsia="Calibri" w:hAnsi="Calibri"/>
          <w:sz w:val="24"/>
          <w:szCs w:val="24"/>
          <w:highlight w:val="yellow"/>
        </w:rPr>
      </w:pPr>
      <w:r w:rsidDel="00000000" w:rsidR="00000000" w:rsidRPr="00000000">
        <w:rPr>
          <w:rFonts w:ascii="Calibri" w:cs="Calibri" w:eastAsia="Calibri" w:hAnsi="Calibri"/>
          <w:b w:val="1"/>
          <w:i w:val="1"/>
          <w:sz w:val="24"/>
          <w:szCs w:val="24"/>
          <w:rtl w:val="0"/>
        </w:rPr>
        <w:t xml:space="preserve">Un Café Con…,</w:t>
      </w:r>
      <w:r w:rsidDel="00000000" w:rsidR="00000000" w:rsidRPr="00000000">
        <w:rPr>
          <w:rFonts w:ascii="Calibri" w:cs="Calibri" w:eastAsia="Calibri" w:hAnsi="Calibri"/>
          <w:sz w:val="24"/>
          <w:szCs w:val="24"/>
          <w:rtl w:val="0"/>
        </w:rPr>
        <w:t xml:space="preserve"> son encuentros distendidos que pretenden dar a conocer a fondo el sector de las TIC, quiénes son sus principales actores, cuáles son los principales retos y oportunidades a los que se enfrentan y qué estrategias cabrían poner en marcha. Nacen con la finalidad de tratar temas de actualidad y de interés, todo ello a través de la experiencia, el liderazgo y el ejemplo de sus invitados.</w:t>
      </w:r>
      <w:r w:rsidDel="00000000" w:rsidR="00000000" w:rsidRPr="00000000">
        <w:rPr>
          <w:rtl w:val="0"/>
        </w:rPr>
      </w:r>
    </w:p>
    <w:p w:rsidR="00000000" w:rsidDel="00000000" w:rsidP="00000000" w:rsidRDefault="00000000" w:rsidRPr="00000000" w14:paraId="00000016">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ha sido la octava edición de esta serie de encuentros en los que ya han participado destacados profesionales del sector de las TIC como Víctor Calvo Sotelo, Javier Nadal o Nuria Oliver, entre otros.</w:t>
      </w:r>
    </w:p>
    <w:p w:rsidR="00000000" w:rsidDel="00000000" w:rsidP="00000000" w:rsidRDefault="00000000" w:rsidRPr="00000000" w14:paraId="00000018">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52.00000000000003"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Puedes ver el encuentro completo en el siguiente </w:t>
      </w:r>
      <w:hyperlink r:id="rId9">
        <w:r w:rsidDel="00000000" w:rsidR="00000000" w:rsidRPr="00000000">
          <w:rPr>
            <w:rFonts w:ascii="Calibri" w:cs="Calibri" w:eastAsia="Calibri" w:hAnsi="Calibri"/>
            <w:color w:val="1155cc"/>
            <w:sz w:val="24"/>
            <w:szCs w:val="24"/>
            <w:u w:val="single"/>
            <w:rtl w:val="0"/>
          </w:rPr>
          <w:t xml:space="preserve">enlace</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 a través del nuevo </w:t>
      </w:r>
      <w:hyperlink r:id="rId10">
        <w:r w:rsidDel="00000000" w:rsidR="00000000" w:rsidRPr="00000000">
          <w:rPr>
            <w:rFonts w:ascii="Calibri" w:cs="Calibri" w:eastAsia="Calibri" w:hAnsi="Calibri"/>
            <w:b w:val="1"/>
            <w:i w:val="1"/>
            <w:color w:val="0563c1"/>
            <w:sz w:val="24"/>
            <w:szCs w:val="24"/>
            <w:u w:val="single"/>
            <w:rtl w:val="0"/>
          </w:rPr>
          <w:t xml:space="preserve">microsite</w:t>
        </w:r>
      </w:hyperlink>
      <w:hyperlink r:id="rId11">
        <w:r w:rsidDel="00000000" w:rsidR="00000000" w:rsidRPr="00000000">
          <w:rPr>
            <w:rFonts w:ascii="Calibri" w:cs="Calibri" w:eastAsia="Calibri" w:hAnsi="Calibri"/>
            <w:b w:val="1"/>
            <w:color w:val="0563c1"/>
            <w:sz w:val="24"/>
            <w:szCs w:val="24"/>
            <w:u w:val="single"/>
            <w:rtl w:val="0"/>
          </w:rPr>
          <w:t xml:space="preserve"> de Un Café Con…</w:t>
        </w:r>
      </w:hyperlink>
      <w:r w:rsidDel="00000000" w:rsidR="00000000" w:rsidRPr="00000000">
        <w:rPr>
          <w:rtl w:val="0"/>
        </w:rPr>
      </w:r>
    </w:p>
    <w:p w:rsidR="00000000" w:rsidDel="00000000" w:rsidP="00000000" w:rsidRDefault="00000000" w:rsidRPr="00000000" w14:paraId="0000001A">
      <w:pPr>
        <w:spacing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52.00000000000003" w:lineRule="auto"/>
        <w:jc w:val="both"/>
        <w:rPr>
          <w:rFonts w:ascii="DIN Pro" w:cs="DIN Pro" w:eastAsia="DIN Pro" w:hAnsi="DIN Pro"/>
          <w:color w:val="44546a"/>
          <w:sz w:val="24"/>
          <w:szCs w:val="24"/>
        </w:rPr>
      </w:pPr>
      <w:r w:rsidDel="00000000" w:rsidR="00000000" w:rsidRPr="00000000">
        <w:rPr>
          <w:rtl w:val="0"/>
        </w:rPr>
      </w:r>
    </w:p>
    <w:p w:rsidR="00000000" w:rsidDel="00000000" w:rsidP="00000000" w:rsidRDefault="00000000" w:rsidRPr="00000000" w14:paraId="0000001D">
      <w:pPr>
        <w:spacing w:after="160" w:line="259" w:lineRule="auto"/>
        <w:rPr>
          <w:rFonts w:ascii="DIN Pro" w:cs="DIN Pro" w:eastAsia="DIN Pro" w:hAnsi="DIN Pro"/>
          <w:b w:val="1"/>
          <w:sz w:val="20"/>
          <w:szCs w:val="20"/>
          <w:u w:val="single"/>
        </w:rPr>
      </w:pPr>
      <w:r w:rsidDel="00000000" w:rsidR="00000000" w:rsidRPr="00000000">
        <w:rPr>
          <w:rtl w:val="0"/>
        </w:rPr>
      </w:r>
    </w:p>
    <w:p w:rsidR="00000000" w:rsidDel="00000000" w:rsidP="00000000" w:rsidRDefault="00000000" w:rsidRPr="00000000" w14:paraId="0000001E">
      <w:pPr>
        <w:spacing w:after="160" w:line="259" w:lineRule="auto"/>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1F">
      <w:pPr>
        <w:shd w:fill="ffffff" w:val="clear"/>
        <w:spacing w:after="280" w:before="28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rsidR="00000000" w:rsidDel="00000000" w:rsidP="00000000" w:rsidRDefault="00000000" w:rsidRPr="00000000" w14:paraId="00000020">
      <w:pPr>
        <w:shd w:fill="ffffff" w:val="clear"/>
        <w:spacing w:after="15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21">
      <w:pP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22">
      <w:pPr>
        <w:shd w:fill="ffffff" w:val="clear"/>
        <w:spacing w:after="120" w:before="120" w:line="240" w:lineRule="auto"/>
        <w:jc w:val="both"/>
        <w:rPr>
          <w:rFonts w:ascii="DIN Pro" w:cs="DIN Pro" w:eastAsia="DIN Pro" w:hAnsi="DIN Pro"/>
          <w:b w:val="1"/>
          <w:sz w:val="20"/>
          <w:szCs w:val="20"/>
        </w:rPr>
      </w:pPr>
      <w:r w:rsidDel="00000000" w:rsidR="00000000" w:rsidRPr="00000000">
        <w:rPr>
          <w:rFonts w:ascii="DIN Pro" w:cs="DIN Pro" w:eastAsia="DIN Pro" w:hAnsi="DIN Pro"/>
          <w:b w:val="1"/>
          <w:sz w:val="20"/>
          <w:szCs w:val="20"/>
          <w:rtl w:val="0"/>
        </w:rPr>
        <w:t xml:space="preserve">Más información:</w:t>
      </w:r>
    </w:p>
    <w:p w:rsidR="00000000" w:rsidDel="00000000" w:rsidP="00000000" w:rsidRDefault="00000000" w:rsidRPr="00000000" w14:paraId="00000023">
      <w:pPr>
        <w:shd w:fill="ffffff" w:val="clear"/>
        <w:spacing w:after="120" w:before="12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Cinthia Mañana  </w:t>
      </w:r>
      <w:hyperlink r:id="rId12">
        <w:r w:rsidDel="00000000" w:rsidR="00000000" w:rsidRPr="00000000">
          <w:rPr>
            <w:rFonts w:ascii="DIN Pro" w:cs="DIN Pro" w:eastAsia="DIN Pro" w:hAnsi="DIN Pro"/>
            <w:color w:val="0563c1"/>
            <w:sz w:val="20"/>
            <w:szCs w:val="20"/>
            <w:u w:val="single"/>
            <w:rtl w:val="0"/>
          </w:rPr>
          <w:t xml:space="preserve">cinthia.manana@actitud.es</w:t>
        </w:r>
      </w:hyperlink>
      <w:r w:rsidDel="00000000" w:rsidR="00000000" w:rsidRPr="00000000">
        <w:rPr>
          <w:rFonts w:ascii="DIN Pro" w:cs="DIN Pro" w:eastAsia="DIN Pro" w:hAnsi="DIN Pro"/>
          <w:sz w:val="20"/>
          <w:szCs w:val="20"/>
          <w:rtl w:val="0"/>
        </w:rPr>
        <w:t xml:space="preserve"> </w:t>
      </w:r>
    </w:p>
    <w:p w:rsidR="00000000" w:rsidDel="00000000" w:rsidP="00000000" w:rsidRDefault="00000000" w:rsidRPr="00000000" w14:paraId="00000024">
      <w:pPr>
        <w:spacing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Actitud de Comunicación: 91 302 28 60</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240" w:before="240" w:lineRule="auto"/>
        <w:rPr>
          <w:color w:val="1f497d"/>
        </w:rPr>
      </w:pPr>
      <w:r w:rsidDel="00000000" w:rsidR="00000000" w:rsidRPr="00000000">
        <w:rPr>
          <w:rFonts w:ascii="DIN Pro" w:cs="DIN Pro" w:eastAsia="DIN Pro" w:hAnsi="DIN Pro"/>
          <w:b w:val="1"/>
          <w:sz w:val="20"/>
          <w:szCs w:val="20"/>
          <w:u w:val="single"/>
          <w:rtl w:val="0"/>
        </w:rPr>
        <w:t xml:space="preserve">Sobre Gestamp</w:t>
      </w:r>
      <w:r w:rsidDel="00000000" w:rsidR="00000000" w:rsidRPr="00000000">
        <w:rPr>
          <w:rtl w:val="0"/>
        </w:rPr>
      </w:r>
    </w:p>
    <w:p w:rsidR="00000000" w:rsidDel="00000000" w:rsidP="00000000" w:rsidRDefault="00000000" w:rsidRPr="00000000" w14:paraId="00000029">
      <w:pPr>
        <w:spacing w:after="240" w:befor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Gestamp es una multinacional especializada en el diseño, desarrollo y fabricación de componentes metálicos de alta ingeniería para los principales fabricantes de vehículos. Desarrolla productos con un diseño innovador para producir vehículos más seguros y ligeros, que ofrecen un menor consumo de energía y un menor impacto ambiental. Sus productos cubren las áreas de carrocería, chasis y mecanismos.</w:t>
      </w:r>
    </w:p>
    <w:p w:rsidR="00000000" w:rsidDel="00000000" w:rsidP="00000000" w:rsidRDefault="00000000" w:rsidRPr="00000000" w14:paraId="0000002A">
      <w:pPr>
        <w:spacing w:after="240" w:before="240" w:lineRule="auto"/>
        <w:jc w:val="both"/>
        <w:rPr>
          <w:color w:val="1f497d"/>
        </w:rPr>
      </w:pPr>
      <w:r w:rsidDel="00000000" w:rsidR="00000000" w:rsidRPr="00000000">
        <w:rPr>
          <w:rFonts w:ascii="DIN Pro" w:cs="DIN Pro" w:eastAsia="DIN Pro" w:hAnsi="DIN Pro"/>
          <w:sz w:val="20"/>
          <w:szCs w:val="20"/>
          <w:rtl w:val="0"/>
        </w:rPr>
        <w:t xml:space="preserve">La empresa está presente en 24 países con más de 100 plantas de producción, 13 centros de I+D y una plantilla de cerca de 40.000 empleados en todo el mundo. Su facturación en 2021 fue de 8.093 millones de euros. Gestamp cotiza en la bolsa española bajo el ticker GEST.</w:t>
      </w:r>
      <w:r w:rsidDel="00000000" w:rsidR="00000000" w:rsidRPr="00000000">
        <w:rPr>
          <w:rtl w:val="0"/>
        </w:rPr>
      </w:r>
    </w:p>
    <w:p w:rsidR="00000000" w:rsidDel="00000000" w:rsidP="00000000" w:rsidRDefault="00000000" w:rsidRPr="00000000" w14:paraId="0000002B">
      <w:pPr>
        <w:spacing w:after="240" w:before="240" w:lineRule="auto"/>
        <w:rPr>
          <w:rFonts w:ascii="DIN Pro" w:cs="DIN Pro" w:eastAsia="DIN Pro" w:hAnsi="DIN Pro"/>
          <w:b w:val="1"/>
          <w:sz w:val="20"/>
          <w:szCs w:val="20"/>
        </w:rPr>
      </w:pPr>
      <w:r w:rsidDel="00000000" w:rsidR="00000000" w:rsidRPr="00000000">
        <w:rPr>
          <w:rtl w:val="0"/>
        </w:rPr>
      </w:r>
    </w:p>
    <w:p w:rsidR="00000000" w:rsidDel="00000000" w:rsidP="00000000" w:rsidRDefault="00000000" w:rsidRPr="00000000" w14:paraId="0000002C">
      <w:pPr>
        <w:spacing w:after="240" w:before="240" w:lineRule="auto"/>
        <w:rPr>
          <w:rFonts w:ascii="DIN Pro" w:cs="DIN Pro" w:eastAsia="DIN Pro" w:hAnsi="DIN Pro"/>
          <w:b w:val="1"/>
          <w:sz w:val="20"/>
          <w:szCs w:val="20"/>
        </w:rPr>
      </w:pPr>
      <w:r w:rsidDel="00000000" w:rsidR="00000000" w:rsidRPr="00000000">
        <w:rPr>
          <w:rFonts w:ascii="DIN Pro" w:cs="DIN Pro" w:eastAsia="DIN Pro" w:hAnsi="DIN Pro"/>
          <w:b w:val="1"/>
          <w:sz w:val="20"/>
          <w:szCs w:val="20"/>
          <w:rtl w:val="0"/>
        </w:rPr>
        <w:t xml:space="preserve">Más información:</w:t>
      </w:r>
    </w:p>
    <w:p w:rsidR="00000000" w:rsidDel="00000000" w:rsidP="00000000" w:rsidRDefault="00000000" w:rsidRPr="00000000" w14:paraId="0000002D">
      <w:pPr>
        <w:spacing w:after="200" w:before="0" w:line="240" w:lineRule="auto"/>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Miguel Bañón Penalba: </w:t>
      </w:r>
      <w:r w:rsidDel="00000000" w:rsidR="00000000" w:rsidRPr="00000000">
        <w:rPr>
          <w:rFonts w:ascii="DIN Pro" w:cs="DIN Pro" w:eastAsia="DIN Pro" w:hAnsi="DIN Pro"/>
          <w:color w:val="0563c1"/>
          <w:sz w:val="20"/>
          <w:szCs w:val="20"/>
          <w:u w:val="single"/>
          <w:rtl w:val="0"/>
        </w:rPr>
        <w:t xml:space="preserve">mbanonpenalba@gestamp.com</w:t>
      </w:r>
      <w:r w:rsidDel="00000000" w:rsidR="00000000" w:rsidRPr="00000000">
        <w:rPr>
          <w:rtl w:val="0"/>
        </w:rPr>
      </w:r>
    </w:p>
    <w:p w:rsidR="00000000" w:rsidDel="00000000" w:rsidP="00000000" w:rsidRDefault="00000000" w:rsidRPr="00000000" w14:paraId="0000002E">
      <w:pPr>
        <w:spacing w:after="200" w:before="0" w:line="240" w:lineRule="auto"/>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Content and Media Relations Manager, Gestamp</w:t>
      </w:r>
    </w:p>
    <w:p w:rsidR="00000000" w:rsidDel="00000000" w:rsidP="00000000" w:rsidRDefault="00000000" w:rsidRPr="00000000" w14:paraId="0000002F">
      <w:pPr>
        <w:spacing w:after="200" w:before="0" w:line="240" w:lineRule="auto"/>
        <w:rPr>
          <w:color w:val="1f497d"/>
        </w:rPr>
      </w:pPr>
      <w:r w:rsidDel="00000000" w:rsidR="00000000" w:rsidRPr="00000000">
        <w:rPr>
          <w:rFonts w:ascii="DIN Pro" w:cs="DIN Pro" w:eastAsia="DIN Pro" w:hAnsi="DIN Pro"/>
          <w:sz w:val="20"/>
          <w:szCs w:val="20"/>
          <w:rtl w:val="0"/>
        </w:rPr>
        <w:t xml:space="preserve">+34 619 406 058 / +34 658 508 731</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DIN Pro"/>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pos="4252"/>
        <w:tab w:val="right" w:pos="8504"/>
      </w:tabs>
      <w:spacing w:line="240" w:lineRule="auto"/>
      <w:rPr/>
    </w:pPr>
    <w:r w:rsidDel="00000000" w:rsidR="00000000" w:rsidRPr="00000000">
      <w:rPr>
        <w:rFonts w:ascii="Calibri" w:cs="Calibri" w:eastAsia="Calibri" w:hAnsi="Calibri"/>
      </w:rPr>
      <w:drawing>
        <wp:inline distB="0" distT="0" distL="0" distR="0">
          <wp:extent cx="2428615" cy="89654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28615" cy="8965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A60EBB"/>
    <w:pPr>
      <w:spacing w:line="240" w:lineRule="auto"/>
    </w:pPr>
  </w:style>
  <w:style w:type="paragraph" w:styleId="Textodeglobo">
    <w:name w:val="Balloon Text"/>
    <w:basedOn w:val="Normal"/>
    <w:link w:val="TextodegloboCar"/>
    <w:uiPriority w:val="99"/>
    <w:semiHidden w:val="1"/>
    <w:unhideWhenUsed w:val="1"/>
    <w:rsid w:val="00822FB5"/>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822FB5"/>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eitm.es/actividades/un-cafe-con" TargetMode="External"/><Relationship Id="rId10" Type="http://schemas.openxmlformats.org/officeDocument/2006/relationships/hyperlink" Target="https://www.aeitm.es/actividades/un-cafe-con" TargetMode="External"/><Relationship Id="rId13" Type="http://schemas.openxmlformats.org/officeDocument/2006/relationships/header" Target="header1.xml"/><Relationship Id="rId12" Type="http://schemas.openxmlformats.org/officeDocument/2006/relationships/hyperlink" Target="mailto:cinthia.manana@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tu-F-UTvN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eitm.es/"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5cc6s3DIRO052wkIk5ILNvvRAg==">AMUW2mVSkDz0hpSOB/sWJRg8kejbMnZic7aOGK2MlWCPzvJoUKtFkQFRRwzogm/VWn5eH2UDWeluiHKsqG5BCrobYmgoPNsaTm1dJwF4Bps25dcQpCOP12JeZ93ODdLVCvggdNAJqmki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2022-05-19T08:52:00Z</dcterms:created>
  <dc:creator>victor.valle</dc:creator>
</cp:coreProperties>
</file>